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the individual packaging (poly bag / wrap / box) protects the product from scratches, marks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materials match the approved specification / sample (visual and hand check; supplier CoA or certificate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the safety/warning labels required for the product and destination market are present, correct and legible.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AGE GRADING &amp; WARNING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9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Verify age-grade marking and choking-hazard warnings match the destination market</w:t>
            </w:r>
          </w:p>
          <w:p w14:paraId="1F8C080F" w14:textId="77777777" w:rsidR="00AB0825" w:rsidRDefault="00000000">
            <w:pPr>
              <w:pStyle w:val="ListParagraph"/>
              <w:numPr>
                <w:ilvl w:val="0"/>
                <w:numId w:val="2"/>
              </w:numPr>
              <w:spacing w:after="16"/>
            </w:pPr>
            <w:r>
              <w:rPr>
                <w:sz w:val="17"/>
                <w:szCs w:val="17"/>
              </w:rPr>
              <w:t>(EN 71 / ASTM F963 / 16 CFR 1500).</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9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Length (mm)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Width (mm)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5C604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AAE86C7"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47574F6" w14:textId="77777777" w:rsidR="00AB0825" w:rsidRDefault="00000000">
            <w:pPr>
              <w:keepNext/>
            </w:pPr>
            <w:r>
              <w:rPr>
                <w:rFonts w:ascii="Century Gothic" w:eastAsia="Century Gothic" w:hAnsi="Century Gothic" w:cs="Century Gothic"/>
                <w:b/>
                <w:bCs/>
                <w:caps/>
                <w:color w:val="0B1F3A"/>
                <w:sz w:val="17"/>
                <w:szCs w:val="17"/>
              </w:rPr>
              <w:t>FATIGUE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914ADCC" w14:textId="77777777" w:rsidR="00AB0825" w:rsidRDefault="00000000">
            <w:pPr>
              <w:keepNext/>
              <w:jc w:val="right"/>
            </w:pPr>
            <w:r>
              <w:rPr>
                <w:b/>
                <w:bCs/>
                <w:caps/>
                <w:color w:val="5B6B85"/>
                <w:sz w:val="12"/>
                <w:szCs w:val="12"/>
              </w:rPr>
              <w:t xml:space="preserve">INSP. LEVEL  ▸  </w:t>
            </w:r>
            <w:sdt>
              <w:sdtPr>
                <w:rPr>
                  <w:color w:val="5B6B85"/>
                  <w:sz w:val="15"/>
                  <w:szCs w:val="15"/>
                </w:rPr>
                <w:id w:val="7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461A2D2"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7E720B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8E010C2" w14:textId="77777777" w:rsidR="00AB0825" w:rsidRDefault="00000000">
            <w:pPr>
              <w:pStyle w:val="ListParagraph"/>
              <w:numPr>
                <w:ilvl w:val="0"/>
                <w:numId w:val="2"/>
              </w:numPr>
              <w:spacing w:after="16"/>
            </w:pPr>
            <w:r>
              <w:rPr>
                <w:sz w:val="17"/>
                <w:szCs w:val="17"/>
              </w:rPr>
              <w:t>Operate functional and adjustable parts (if applicable), 20 times. Functions shall respond properly; no damages or blocked function shall occur.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6EFC65C" w14:textId="77777777" w:rsidR="00AB0825" w:rsidRDefault="00000000">
            <w:pPr>
              <w:spacing w:after="30"/>
              <w:jc w:val="center"/>
            </w:pPr>
            <w:r>
              <w:rPr>
                <w:b/>
                <w:bCs/>
                <w:caps/>
                <w:color w:val="5B6B85"/>
                <w:spacing w:val="20"/>
                <w:sz w:val="12"/>
                <w:szCs w:val="12"/>
              </w:rPr>
              <w:t>RESULT</w:t>
            </w:r>
          </w:p>
          <w:p w14:paraId="57996FC4" w14:textId="77777777" w:rsidR="00AB0825" w:rsidRDefault="00000000">
            <w:pPr>
              <w:jc w:val="center"/>
            </w:pPr>
            <w:sdt>
              <w:sdtPr>
                <w:rPr>
                  <w:rFonts w:ascii="Century Gothic" w:eastAsia="Century Gothic" w:hAnsi="Century Gothic" w:cs="Century Gothic"/>
                  <w:b/>
                  <w:bCs/>
                  <w:color w:val="0B1F3A"/>
                  <w:sz w:val="19"/>
                  <w:szCs w:val="19"/>
                </w:rPr>
                <w:id w:val="7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0B02C5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26C22D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A25F46"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c>
          <w:tcPr>
            <w:tcW w:w="200" w:type="dxa"/>
            <w:tcBorders>
              <w:top w:val="nil"/>
              <w:left w:val="nil"/>
              <w:bottom w:val="nil"/>
              <w:right w:val="nil"/>
            </w:tcBorders>
            <w:tcMar>
              <w:top w:w="40" w:type="dxa"/>
              <w:left w:w="100" w:type="dxa"/>
              <w:bottom w:w="40" w:type="dxa"/>
              <w:right w:w="100" w:type="dxa"/>
            </w:tcMar>
            <w:vAlign w:val="center"/>
          </w:tcPr>
          <w:p w14:paraId="6D2DCD7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12FD0DB"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r>
      <w:tr w:rsidR="00AB0825" w14:paraId="4842E5F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80B42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98BD1D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FD5216" w14:textId="77777777" w:rsidR="00AB0825" w:rsidRDefault="00AB0825"/>
        </w:tc>
      </w:tr>
    </w:tbl>
    <w:p w14:paraId="497C211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E7FE98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0F828C"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0FF800" w14:textId="77777777" w:rsidR="00AB0825" w:rsidRDefault="00000000">
            <w:pPr>
              <w:keepNext/>
            </w:pPr>
            <w:r>
              <w:rPr>
                <w:rFonts w:ascii="Century Gothic" w:eastAsia="Century Gothic" w:hAnsi="Century Gothic" w:cs="Century Gothic"/>
                <w:b/>
                <w:bCs/>
                <w:caps/>
                <w:color w:val="0B1F3A"/>
                <w:sz w:val="17"/>
                <w:szCs w:val="17"/>
              </w:rPr>
              <w:t>PULL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FA9C1E2" w14:textId="77777777" w:rsidR="00AB0825" w:rsidRDefault="00000000">
            <w:pPr>
              <w:keepNext/>
              <w:jc w:val="right"/>
            </w:pPr>
            <w:r>
              <w:rPr>
                <w:b/>
                <w:bCs/>
                <w:caps/>
                <w:color w:val="5B6B85"/>
                <w:sz w:val="12"/>
                <w:szCs w:val="12"/>
              </w:rPr>
              <w:t xml:space="preserve">INSP. LEVEL  ▸  </w:t>
            </w:r>
            <w:sdt>
              <w:sdtPr>
                <w:rPr>
                  <w:color w:val="5B6B85"/>
                  <w:sz w:val="15"/>
                  <w:szCs w:val="15"/>
                </w:rPr>
                <w:id w:val="707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513A622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C2F7D4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4E6937E" w14:textId="77777777" w:rsidR="00AB0825" w:rsidRDefault="00000000">
            <w:pPr>
              <w:pStyle w:val="ListParagraph"/>
              <w:numPr>
                <w:ilvl w:val="0"/>
                <w:numId w:val="2"/>
              </w:numPr>
              <w:spacing w:after="16"/>
            </w:pPr>
            <w:r>
              <w:rPr>
                <w:sz w:val="17"/>
                <w:szCs w:val="17"/>
              </w:rPr>
              <w:t>Pull test on small parts and accessories.</w:t>
            </w:r>
          </w:p>
          <w:p w14:paraId="44E6937E" w14:textId="77777777" w:rsidR="00AB0825" w:rsidRDefault="00000000">
            <w:pPr>
              <w:pStyle w:val="ListParagraph"/>
              <w:numPr>
                <w:ilvl w:val="0"/>
                <w:numId w:val="2"/>
              </w:numPr>
              <w:spacing w:after="16"/>
            </w:pPr>
            <w:r>
              <w:rPr>
                <w:sz w:val="17"/>
                <w:szCs w:val="17"/>
              </w:rPr>
              <w:t>Use a pull gauge, 70 N for 5 s (children's products per EN 71 / ASTM F963).</w:t>
            </w:r>
          </w:p>
          <w:p w14:paraId="44E6937E" w14:textId="77777777" w:rsidR="00AB0825" w:rsidRDefault="00000000">
            <w:pPr>
              <w:pStyle w:val="ListParagraph"/>
              <w:numPr>
                <w:ilvl w:val="0"/>
                <w:numId w:val="2"/>
              </w:numPr>
              <w:spacing w:after="16"/>
            </w:pPr>
            <w:r>
              <w:rPr>
                <w:sz w:val="17"/>
                <w:szCs w:val="17"/>
              </w:rPr>
              <w:t>If no gauge is available during inspection, check by hand with appropriate force.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316108C" w14:textId="77777777" w:rsidR="00AB0825" w:rsidRDefault="00000000">
            <w:pPr>
              <w:spacing w:after="30"/>
              <w:jc w:val="center"/>
            </w:pPr>
            <w:r>
              <w:rPr>
                <w:b/>
                <w:bCs/>
                <w:caps/>
                <w:color w:val="5B6B85"/>
                <w:spacing w:val="20"/>
                <w:sz w:val="12"/>
                <w:szCs w:val="12"/>
              </w:rPr>
              <w:t>RESULT</w:t>
            </w:r>
          </w:p>
          <w:p w14:paraId="70859F3A" w14:textId="77777777" w:rsidR="00AB0825" w:rsidRDefault="00000000">
            <w:pPr>
              <w:jc w:val="center"/>
            </w:pPr>
            <w:sdt>
              <w:sdtPr>
                <w:rPr>
                  <w:rFonts w:ascii="Century Gothic" w:eastAsia="Century Gothic" w:hAnsi="Century Gothic" w:cs="Century Gothic"/>
                  <w:b/>
                  <w:bCs/>
                  <w:color w:val="0B1F3A"/>
                  <w:sz w:val="19"/>
                  <w:szCs w:val="19"/>
                </w:rPr>
                <w:id w:val="707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7D3D27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6699D1"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43E4C2B"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c>
          <w:tcPr>
            <w:tcW w:w="200" w:type="dxa"/>
            <w:tcBorders>
              <w:top w:val="nil"/>
              <w:left w:val="nil"/>
              <w:bottom w:val="nil"/>
              <w:right w:val="nil"/>
            </w:tcBorders>
            <w:tcMar>
              <w:top w:w="40" w:type="dxa"/>
              <w:left w:w="100" w:type="dxa"/>
              <w:bottom w:w="40" w:type="dxa"/>
              <w:right w:w="100" w:type="dxa"/>
            </w:tcMar>
            <w:vAlign w:val="center"/>
          </w:tcPr>
          <w:p w14:paraId="04FCC9C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0D61EC0"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r>
      <w:tr w:rsidR="00AB0825" w14:paraId="0C1695E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27E0A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CE379C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C3D02F" w14:textId="77777777" w:rsidR="00AB0825" w:rsidRDefault="00AB0825"/>
        </w:tc>
      </w:tr>
    </w:tbl>
    <w:p w14:paraId="5980CDDA"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4245E5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9364FB4"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39CA446" w14:textId="77777777" w:rsidR="00AB0825" w:rsidRDefault="00000000">
            <w:pPr>
              <w:keepNext/>
            </w:pPr>
            <w:r>
              <w:rPr>
                <w:rFonts w:ascii="Century Gothic" w:eastAsia="Century Gothic" w:hAnsi="Century Gothic" w:cs="Century Gothic"/>
                <w:b/>
                <w:bCs/>
                <w:caps/>
                <w:color w:val="0B1F3A"/>
                <w:sz w:val="17"/>
                <w:szCs w:val="17"/>
              </w:rPr>
              <w:t>RUB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B570340" w14:textId="77777777" w:rsidR="00AB0825" w:rsidRDefault="00000000">
            <w:pPr>
              <w:keepNext/>
              <w:jc w:val="right"/>
            </w:pPr>
            <w:r>
              <w:rPr>
                <w:b/>
                <w:bCs/>
                <w:caps/>
                <w:color w:val="5B6B85"/>
                <w:sz w:val="12"/>
                <w:szCs w:val="12"/>
              </w:rPr>
              <w:t xml:space="preserve">INSP. LEVEL  ▸  </w:t>
            </w:r>
            <w:sdt>
              <w:sdtPr>
                <w:rPr>
                  <w:color w:val="5B6B85"/>
                  <w:sz w:val="15"/>
                  <w:szCs w:val="15"/>
                </w:rPr>
                <w:id w:val="707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00533221"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2449410"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BF0FCD5" w14:textId="77777777" w:rsidR="00AB0825" w:rsidRDefault="00000000">
            <w:pPr>
              <w:pStyle w:val="ListParagraph"/>
              <w:numPr>
                <w:ilvl w:val="0"/>
                <w:numId w:val="2"/>
              </w:numPr>
              <w:spacing w:after="16"/>
            </w:pPr>
            <w:r>
              <w:rPr>
                <w:sz w:val="17"/>
                <w:szCs w:val="17"/>
              </w:rPr>
              <w:t>Rub the item 10 times over a 10 cm distance with a force of 9N (1kg).</w:t>
            </w:r>
          </w:p>
          <w:p w14:paraId="27205B1C" w14:textId="77777777" w:rsidR="00AB0825" w:rsidRDefault="00000000">
            <w:pPr>
              <w:pStyle w:val="ListParagraph"/>
              <w:numPr>
                <w:ilvl w:val="0"/>
                <w:numId w:val="2"/>
              </w:numPr>
              <w:spacing w:after="16"/>
            </w:pPr>
            <w:r>
              <w:rPr>
                <w:sz w:val="17"/>
                <w:szCs w:val="17"/>
              </w:rPr>
              <w:t>There should be no color transfer greater than 4 on a grey scale (between the original white cloth and the colored one) after the dry test.</w:t>
            </w:r>
          </w:p>
          <w:p w14:paraId="1F5411F2" w14:textId="77777777" w:rsidR="00AB0825" w:rsidRDefault="00000000">
            <w:pPr>
              <w:pStyle w:val="ListParagraph"/>
              <w:numPr>
                <w:ilvl w:val="0"/>
                <w:numId w:val="2"/>
              </w:numPr>
              <w:spacing w:after="16"/>
            </w:pPr>
            <w:r>
              <w:rPr>
                <w:sz w:val="17"/>
                <w:szCs w:val="17"/>
              </w:rPr>
              <w:t>There should be no color transfer greater than 3-4 on a grey scale (between the original white cloth and the colored one) after the wet test.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414368" w14:textId="77777777" w:rsidR="00AB0825" w:rsidRDefault="00000000">
            <w:pPr>
              <w:spacing w:after="30"/>
              <w:jc w:val="center"/>
            </w:pPr>
            <w:r>
              <w:rPr>
                <w:b/>
                <w:bCs/>
                <w:caps/>
                <w:color w:val="5B6B85"/>
                <w:spacing w:val="20"/>
                <w:sz w:val="12"/>
                <w:szCs w:val="12"/>
              </w:rPr>
              <w:t>RESULT</w:t>
            </w:r>
          </w:p>
          <w:p w14:paraId="1DC3EC76" w14:textId="77777777" w:rsidR="00AB0825" w:rsidRDefault="00000000">
            <w:pPr>
              <w:jc w:val="center"/>
            </w:pPr>
            <w:sdt>
              <w:sdtPr>
                <w:rPr>
                  <w:rFonts w:ascii="Century Gothic" w:eastAsia="Century Gothic" w:hAnsi="Century Gothic" w:cs="Century Gothic"/>
                  <w:b/>
                  <w:bCs/>
                  <w:color w:val="0B1F3A"/>
                  <w:sz w:val="19"/>
                  <w:szCs w:val="19"/>
                </w:rPr>
                <w:id w:val="707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2B6C58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F1A7C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8C38B1C"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c>
          <w:tcPr>
            <w:tcW w:w="200" w:type="dxa"/>
            <w:tcBorders>
              <w:top w:val="nil"/>
              <w:left w:val="nil"/>
              <w:bottom w:val="nil"/>
              <w:right w:val="nil"/>
            </w:tcBorders>
            <w:tcMar>
              <w:top w:w="40" w:type="dxa"/>
              <w:left w:w="100" w:type="dxa"/>
              <w:bottom w:w="40" w:type="dxa"/>
              <w:right w:w="100" w:type="dxa"/>
            </w:tcMar>
            <w:vAlign w:val="center"/>
          </w:tcPr>
          <w:p w14:paraId="50BC573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6AC528"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r>
      <w:tr w:rsidR="00AB0825" w14:paraId="33E4D08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620727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5D411E1"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3BEA5A1" w14:textId="77777777" w:rsidR="00AB0825" w:rsidRDefault="00AB0825"/>
        </w:tc>
      </w:tr>
    </w:tbl>
    <w:p w14:paraId="6C1FB57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378B2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63A2D82"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F0865C" w14:textId="77777777" w:rsidR="00AB0825" w:rsidRDefault="00000000">
            <w:pPr>
              <w:keepNext/>
            </w:pPr>
            <w:r>
              <w:rPr>
                <w:rFonts w:ascii="Century Gothic" w:eastAsia="Century Gothic" w:hAnsi="Century Gothic" w:cs="Century Gothic"/>
                <w:b/>
                <w:bCs/>
                <w:caps/>
                <w:color w:val="0B1F3A"/>
                <w:sz w:val="17"/>
                <w:szCs w:val="17"/>
              </w:rPr>
              <w:t>SMELL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5F1864" w14:textId="77777777" w:rsidR="00AB0825" w:rsidRDefault="00000000">
            <w:pPr>
              <w:keepNext/>
              <w:jc w:val="right"/>
            </w:pPr>
            <w:r>
              <w:rPr>
                <w:b/>
                <w:bCs/>
                <w:caps/>
                <w:color w:val="5B6B85"/>
                <w:sz w:val="12"/>
                <w:szCs w:val="12"/>
              </w:rPr>
              <w:t xml:space="preserve">INSP. LEVEL  ▸  </w:t>
            </w:r>
            <w:sdt>
              <w:sdtPr>
                <w:rPr>
                  <w:color w:val="5B6B85"/>
                  <w:sz w:val="15"/>
                  <w:szCs w:val="15"/>
                </w:rPr>
                <w:id w:val="7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F060A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2E2E9F7"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6369C28" w14:textId="77777777" w:rsidR="00AB0825" w:rsidRDefault="00000000">
            <w:pPr>
              <w:pStyle w:val="ListParagraph"/>
              <w:numPr>
                <w:ilvl w:val="0"/>
                <w:numId w:val="2"/>
              </w:numPr>
              <w:spacing w:after="16"/>
            </w:pPr>
            <w:r>
              <w:rPr>
                <w:sz w:val="17"/>
                <w:szCs w:val="17"/>
              </w:rPr>
              <w:t>Check the smell of the product. It should not have any solvent, mould or strong odor.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8119095" w14:textId="77777777" w:rsidR="00AB0825" w:rsidRDefault="00000000">
            <w:pPr>
              <w:spacing w:after="30"/>
              <w:jc w:val="center"/>
            </w:pPr>
            <w:r>
              <w:rPr>
                <w:b/>
                <w:bCs/>
                <w:caps/>
                <w:color w:val="5B6B85"/>
                <w:spacing w:val="20"/>
                <w:sz w:val="12"/>
                <w:szCs w:val="12"/>
              </w:rPr>
              <w:t>RESULT</w:t>
            </w:r>
          </w:p>
          <w:p w14:paraId="34E48D1B" w14:textId="77777777" w:rsidR="00AB0825" w:rsidRDefault="00000000">
            <w:pPr>
              <w:jc w:val="center"/>
            </w:pPr>
            <w:sdt>
              <w:sdtPr>
                <w:rPr>
                  <w:rFonts w:ascii="Century Gothic" w:eastAsia="Century Gothic" w:hAnsi="Century Gothic" w:cs="Century Gothic"/>
                  <w:b/>
                  <w:bCs/>
                  <w:color w:val="0B1F3A"/>
                  <w:sz w:val="19"/>
                  <w:szCs w:val="19"/>
                </w:rPr>
                <w:id w:val="7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5D31A8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CB7549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EACBA6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c>
          <w:tcPr>
            <w:tcW w:w="200" w:type="dxa"/>
            <w:tcBorders>
              <w:top w:val="nil"/>
              <w:left w:val="nil"/>
              <w:bottom w:val="nil"/>
              <w:right w:val="nil"/>
            </w:tcBorders>
            <w:tcMar>
              <w:top w:w="40" w:type="dxa"/>
              <w:left w:w="100" w:type="dxa"/>
              <w:bottom w:w="40" w:type="dxa"/>
              <w:right w:w="100" w:type="dxa"/>
            </w:tcMar>
            <w:vAlign w:val="center"/>
          </w:tcPr>
          <w:p w14:paraId="7377DEB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A77EC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r>
      <w:tr w:rsidR="00AB0825" w14:paraId="42B8B31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035C6F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1F4AA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F9660" w14:textId="77777777" w:rsidR="00AB0825" w:rsidRDefault="00AB0825"/>
        </w:tc>
      </w:tr>
    </w:tbl>
    <w:p w14:paraId="42BA9D5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SMALL-PARTS CYLINDER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6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Test small components in the small-parts cylinder (EN 71-1 / ASTM F963).</w:t>
            </w:r>
          </w:p>
          <w:p w14:paraId="16F71144" w14:textId="77777777" w:rsidR="00AB0825" w:rsidRDefault="00000000">
            <w:pPr>
              <w:pStyle w:val="ListParagraph"/>
              <w:numPr>
                <w:ilvl w:val="0"/>
                <w:numId w:val="2"/>
              </w:numPr>
              <w:spacing w:after="16"/>
            </w:pPr>
            <w:r>
              <w:rPr>
                <w:sz w:val="17"/>
                <w:szCs w:val="17"/>
              </w:rPr>
              <w:t>No component for the stated age grade may fit entirely in the cylinder.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6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SHARP EDGES &amp; POINTS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Check all accessible edges and points (EN 71-1 / 16 CFR 1500.48-49).</w:t>
            </w:r>
          </w:p>
          <w:p w14:paraId="16F71144" w14:textId="77777777" w:rsidR="00AB0825" w:rsidRDefault="00000000">
            <w:pPr>
              <w:pStyle w:val="ListParagraph"/>
              <w:numPr>
                <w:ilvl w:val="0"/>
                <w:numId w:val="2"/>
              </w:numPr>
              <w:spacing w:after="16"/>
            </w:pPr>
            <w:r>
              <w:rPr>
                <w:sz w:val="17"/>
                <w:szCs w:val="17"/>
              </w:rPr>
              <w:t>No accessible sharp edges or points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BATTERY CHARGING / DISCHARGING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If applicable: charge samples until full — no interruption or abnormal heating; record the full-charge time.</w:t>
            </w:r>
          </w:p>
          <w:p w14:paraId="16F71144" w14:textId="77777777" w:rsidR="00AB0825" w:rsidRDefault="00000000">
            <w:pPr>
              <w:pStyle w:val="ListParagraph"/>
              <w:numPr>
                <w:ilvl w:val="0"/>
                <w:numId w:val="2"/>
              </w:numPr>
              <w:spacing w:after="16"/>
            </w:pPr>
            <w:r>
              <w:rPr>
                <w:sz w:val="17"/>
                <w:szCs w:val="17"/>
              </w:rPr>
              <w:t>Discharge in continuous use and record the runtime.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PRODUCT CERTIFICATION REVIEW</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6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Once per lot: review the toy safety test reports / certificates (EN 71, ASTM F963, CPC) as requested by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COMPONENT TORQUE &amp; TENSION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Apply the standard torque and tension to projecting components (EN 71-1 / ASTM F963).</w:t>
            </w:r>
          </w:p>
          <w:p w14:paraId="16F71144" w14:textId="77777777" w:rsidR="00AB0825" w:rsidRDefault="00000000">
            <w:pPr>
              <w:pStyle w:val="ListParagraph"/>
              <w:numPr>
                <w:ilvl w:val="0"/>
                <w:numId w:val="2"/>
              </w:numPr>
              <w:spacing w:after="16"/>
            </w:pPr>
            <w:r>
              <w:rPr>
                <w:sz w:val="17"/>
                <w:szCs w:val="17"/>
              </w:rPr>
              <w:t>No release of small parts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burrs, flash, sharp edges, scratches, dents, or discoloration on visible/functional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Toys &amp; games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